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93E626" w14:textId="0025CF2E" w:rsidR="00F01182" w:rsidRPr="00A21195" w:rsidRDefault="00F01182" w:rsidP="00F01182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bookmarkStart w:id="0" w:name="_Hlk79146417"/>
      <w:r w:rsidRPr="002D6524">
        <w:rPr>
          <w:rFonts w:cs="Arial"/>
          <w:sz w:val="24"/>
          <w:szCs w:val="24"/>
        </w:rPr>
        <w:t>3GPP TSG-RAN WG4 Meeting #</w:t>
      </w:r>
      <w:r w:rsidR="00250CB6">
        <w:rPr>
          <w:rFonts w:cs="Arial"/>
          <w:sz w:val="24"/>
          <w:szCs w:val="24"/>
        </w:rPr>
        <w:t>100</w:t>
      </w:r>
      <w:r w:rsidRPr="00AB081E">
        <w:rPr>
          <w:rFonts w:cs="Arial"/>
          <w:sz w:val="24"/>
          <w:szCs w:val="24"/>
        </w:rPr>
        <w:t>-e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="0095576A" w:rsidRPr="0095576A">
        <w:rPr>
          <w:rFonts w:cs="Arial"/>
          <w:noProof w:val="0"/>
          <w:sz w:val="24"/>
        </w:rPr>
        <w:t>R4-2114188</w:t>
      </w:r>
    </w:p>
    <w:p w14:paraId="67F14A92" w14:textId="77AC9438" w:rsidR="00F01182" w:rsidRPr="00AB081E" w:rsidRDefault="00F01182" w:rsidP="00F01182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AB081E">
        <w:rPr>
          <w:rFonts w:cs="Arial"/>
          <w:sz w:val="24"/>
          <w:szCs w:val="24"/>
        </w:rPr>
        <w:t xml:space="preserve">E-meeting, </w:t>
      </w:r>
      <w:r w:rsidR="00250CB6" w:rsidRPr="00AB081E">
        <w:rPr>
          <w:rFonts w:cs="Arial"/>
          <w:sz w:val="24"/>
          <w:szCs w:val="24"/>
        </w:rPr>
        <w:t>1</w:t>
      </w:r>
      <w:r w:rsidR="00250CB6">
        <w:rPr>
          <w:rFonts w:cs="Arial"/>
          <w:sz w:val="24"/>
          <w:szCs w:val="24"/>
        </w:rPr>
        <w:t>6</w:t>
      </w:r>
      <w:r w:rsidR="00250CB6" w:rsidRPr="00AB081E">
        <w:rPr>
          <w:rFonts w:cs="Arial"/>
          <w:sz w:val="24"/>
          <w:szCs w:val="24"/>
        </w:rPr>
        <w:t xml:space="preserve"> </w:t>
      </w:r>
      <w:r w:rsidR="00250CB6">
        <w:rPr>
          <w:rFonts w:cs="Arial"/>
          <w:sz w:val="24"/>
          <w:szCs w:val="24"/>
        </w:rPr>
        <w:t>Aug</w:t>
      </w:r>
      <w:r w:rsidR="00250CB6" w:rsidRPr="00AB081E">
        <w:rPr>
          <w:rFonts w:cs="Arial"/>
          <w:sz w:val="24"/>
          <w:szCs w:val="24"/>
        </w:rPr>
        <w:t xml:space="preserve"> – 27 </w:t>
      </w:r>
      <w:r w:rsidR="00250CB6">
        <w:rPr>
          <w:rFonts w:cs="Arial"/>
          <w:sz w:val="24"/>
          <w:szCs w:val="24"/>
        </w:rPr>
        <w:t>Aug</w:t>
      </w:r>
      <w:r w:rsidR="00250CB6" w:rsidRPr="00AB081E">
        <w:rPr>
          <w:rFonts w:cs="Arial"/>
          <w:sz w:val="24"/>
          <w:szCs w:val="24"/>
        </w:rPr>
        <w:t>, 2021</w:t>
      </w:r>
    </w:p>
    <w:bookmarkEnd w:id="0"/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60EF78E4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1" w:name="Source"/>
      <w:bookmarkEnd w:id="1"/>
      <w:r w:rsidR="00C65EF3" w:rsidRPr="00AB081E">
        <w:rPr>
          <w:rFonts w:ascii="Arial" w:hAnsi="Arial" w:cs="Arial"/>
          <w:b/>
          <w:sz w:val="24"/>
        </w:rPr>
        <w:t>9.</w:t>
      </w:r>
      <w:r w:rsidR="00152B88">
        <w:rPr>
          <w:rFonts w:ascii="Arial" w:hAnsi="Arial" w:cs="Arial"/>
          <w:b/>
          <w:sz w:val="24"/>
        </w:rPr>
        <w:t>9</w:t>
      </w:r>
      <w:r w:rsidR="00A21195">
        <w:rPr>
          <w:rFonts w:ascii="Arial" w:hAnsi="Arial" w:cs="Arial"/>
          <w:b/>
          <w:sz w:val="24"/>
        </w:rPr>
        <w:t>.</w:t>
      </w:r>
      <w:r w:rsidR="00152B88">
        <w:rPr>
          <w:rFonts w:ascii="Arial" w:hAnsi="Arial" w:cs="Arial"/>
          <w:b/>
          <w:sz w:val="24"/>
        </w:rPr>
        <w:t>4</w:t>
      </w:r>
      <w:r w:rsidR="00A21195">
        <w:rPr>
          <w:rFonts w:ascii="Arial" w:hAnsi="Arial" w:cs="Arial"/>
          <w:b/>
          <w:sz w:val="24"/>
        </w:rPr>
        <w:t>.</w:t>
      </w:r>
      <w:r w:rsidR="00152B88">
        <w:rPr>
          <w:rFonts w:ascii="Arial" w:hAnsi="Arial" w:cs="Arial"/>
          <w:b/>
          <w:sz w:val="24"/>
        </w:rPr>
        <w:t>5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435016F9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152B88" w:rsidRPr="00152B88">
        <w:rPr>
          <w:rFonts w:ascii="Arial" w:hAnsi="Arial" w:cs="Arial"/>
          <w:b/>
          <w:sz w:val="24"/>
        </w:rPr>
        <w:t xml:space="preserve">Discussion on </w:t>
      </w:r>
      <w:r w:rsidR="005728E3">
        <w:rPr>
          <w:rFonts w:ascii="Arial" w:hAnsi="Arial" w:cs="Arial"/>
          <w:b/>
          <w:sz w:val="24"/>
        </w:rPr>
        <w:t xml:space="preserve">the TCI state switching issue </w:t>
      </w:r>
      <w:r w:rsidR="00152B88" w:rsidRPr="00152B88">
        <w:rPr>
          <w:rFonts w:ascii="Arial" w:hAnsi="Arial" w:cs="Arial"/>
          <w:b/>
          <w:sz w:val="24"/>
        </w:rPr>
        <w:t>in HST FR2</w:t>
      </w:r>
      <w:r w:rsidR="00CC1185" w:rsidRPr="008D6E1C">
        <w:rPr>
          <w:rFonts w:ascii="Arial" w:hAnsi="Arial" w:cs="Arial"/>
          <w:b/>
          <w:sz w:val="24"/>
        </w:rPr>
        <w:t xml:space="preserve"> 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20039226" w14:textId="279CF3E6" w:rsidR="001B79B4" w:rsidRDefault="00A948CB" w:rsidP="00F01182">
      <w:pPr>
        <w:jc w:val="both"/>
        <w:rPr>
          <w:color w:val="FF0000"/>
        </w:rPr>
      </w:pPr>
      <w:r w:rsidRPr="001672D9">
        <w:t>During RAN4#9</w:t>
      </w:r>
      <w:r>
        <w:t>9</w:t>
      </w:r>
      <w:r w:rsidRPr="001672D9">
        <w:t xml:space="preserve">-e the following </w:t>
      </w:r>
      <w:r>
        <w:t>open issues were captured in WF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79B4" w14:paraId="33554F41" w14:textId="77777777" w:rsidTr="001B79B4">
        <w:tc>
          <w:tcPr>
            <w:tcW w:w="9629" w:type="dxa"/>
          </w:tcPr>
          <w:p w14:paraId="71BCBA72" w14:textId="77777777" w:rsidR="00CB77C8" w:rsidRPr="00CB77C8" w:rsidRDefault="00CB77C8" w:rsidP="00A948CB">
            <w:pPr>
              <w:numPr>
                <w:ilvl w:val="0"/>
                <w:numId w:val="9"/>
              </w:numPr>
              <w:jc w:val="both"/>
              <w:rPr>
                <w:i/>
                <w:iCs/>
                <w:lang w:val="en-US"/>
              </w:rPr>
            </w:pPr>
            <w:r w:rsidRPr="00CB77C8">
              <w:rPr>
                <w:i/>
                <w:iCs/>
                <w:lang w:val="en-US"/>
              </w:rPr>
              <w:t>Revise TCI known conditions for HST scenario</w:t>
            </w:r>
          </w:p>
          <w:p w14:paraId="7049AB0F" w14:textId="77777777" w:rsidR="00CB77C8" w:rsidRPr="00CB77C8" w:rsidRDefault="00CB77C8" w:rsidP="00A948CB">
            <w:pPr>
              <w:numPr>
                <w:ilvl w:val="0"/>
                <w:numId w:val="9"/>
              </w:numPr>
              <w:jc w:val="both"/>
              <w:rPr>
                <w:i/>
                <w:iCs/>
                <w:lang w:val="en-US"/>
              </w:rPr>
            </w:pPr>
            <w:r w:rsidRPr="00CB77C8">
              <w:rPr>
                <w:i/>
                <w:iCs/>
              </w:rPr>
              <w:t xml:space="preserve">FFS </w:t>
            </w:r>
            <w:r w:rsidRPr="00CB77C8">
              <w:rPr>
                <w:i/>
                <w:iCs/>
                <w:lang w:val="en-US"/>
              </w:rPr>
              <w:t>the TCI state switching delay</w:t>
            </w:r>
            <w:r w:rsidRPr="00CB77C8">
              <w:rPr>
                <w:i/>
                <w:iCs/>
              </w:rPr>
              <w:t xml:space="preserve"> requirements considering the following </w:t>
            </w:r>
            <w:proofErr w:type="gramStart"/>
            <w:r w:rsidRPr="00CB77C8">
              <w:rPr>
                <w:i/>
                <w:iCs/>
              </w:rPr>
              <w:t>aspects :</w:t>
            </w:r>
            <w:proofErr w:type="gramEnd"/>
          </w:p>
          <w:p w14:paraId="55346432" w14:textId="77777777" w:rsidR="00CB77C8" w:rsidRPr="00CB77C8" w:rsidRDefault="00CB77C8" w:rsidP="00A948CB">
            <w:pPr>
              <w:numPr>
                <w:ilvl w:val="1"/>
                <w:numId w:val="9"/>
              </w:numPr>
              <w:jc w:val="both"/>
              <w:rPr>
                <w:i/>
                <w:iCs/>
                <w:lang w:val="en-US"/>
              </w:rPr>
            </w:pPr>
            <w:r w:rsidRPr="00CB77C8">
              <w:rPr>
                <w:i/>
                <w:iCs/>
                <w:lang w:val="en-US"/>
              </w:rPr>
              <w:t>delay requirement for unknown TCI state condition</w:t>
            </w:r>
          </w:p>
          <w:p w14:paraId="55F4B4D8" w14:textId="77777777" w:rsidR="00CB77C8" w:rsidRPr="00CB77C8" w:rsidRDefault="00CB77C8" w:rsidP="00A948CB">
            <w:pPr>
              <w:numPr>
                <w:ilvl w:val="1"/>
                <w:numId w:val="9"/>
              </w:numPr>
              <w:jc w:val="both"/>
              <w:rPr>
                <w:i/>
                <w:iCs/>
                <w:lang w:val="en-US"/>
              </w:rPr>
            </w:pPr>
            <w:r w:rsidRPr="00CB77C8">
              <w:rPr>
                <w:i/>
                <w:iCs/>
                <w:lang w:val="en-US"/>
              </w:rPr>
              <w:t>the impact of one additional L1-RSRP measurement period due to unknown TCI state condition</w:t>
            </w:r>
          </w:p>
          <w:p w14:paraId="27CAA4C7" w14:textId="77777777" w:rsidR="00A948CB" w:rsidRPr="00CB77C8" w:rsidRDefault="00CB77C8" w:rsidP="00A948CB">
            <w:pPr>
              <w:numPr>
                <w:ilvl w:val="1"/>
                <w:numId w:val="9"/>
              </w:numPr>
              <w:jc w:val="both"/>
              <w:rPr>
                <w:i/>
                <w:iCs/>
                <w:lang w:val="en-US"/>
              </w:rPr>
            </w:pPr>
            <w:r w:rsidRPr="00CB77C8">
              <w:rPr>
                <w:i/>
                <w:iCs/>
              </w:rPr>
              <w:t>the problem of large difference in propagation delays</w:t>
            </w:r>
          </w:p>
          <w:p w14:paraId="242025C2" w14:textId="77777777" w:rsidR="00A948CB" w:rsidRPr="00A948CB" w:rsidRDefault="00A948CB" w:rsidP="00A948CB">
            <w:pPr>
              <w:numPr>
                <w:ilvl w:val="1"/>
                <w:numId w:val="9"/>
              </w:numPr>
              <w:jc w:val="both"/>
              <w:rPr>
                <w:i/>
                <w:iCs/>
                <w:lang w:val="en-US"/>
              </w:rPr>
            </w:pPr>
            <w:r w:rsidRPr="00CB77C8">
              <w:rPr>
                <w:i/>
                <w:iCs/>
              </w:rPr>
              <w:t>re-using of existing TCI switching delay in known case</w:t>
            </w:r>
          </w:p>
          <w:p w14:paraId="0055578D" w14:textId="77777777" w:rsidR="00A948CB" w:rsidRPr="00A948CB" w:rsidRDefault="00A948CB" w:rsidP="00A948CB">
            <w:pPr>
              <w:ind w:left="720"/>
              <w:jc w:val="both"/>
              <w:rPr>
                <w:i/>
                <w:iCs/>
                <w:lang w:val="en-US"/>
              </w:rPr>
            </w:pPr>
          </w:p>
          <w:p w14:paraId="650C680E" w14:textId="77777777" w:rsidR="00A948CB" w:rsidRPr="00A948CB" w:rsidRDefault="00A948CB" w:rsidP="00A948CB">
            <w:pPr>
              <w:numPr>
                <w:ilvl w:val="0"/>
                <w:numId w:val="9"/>
              </w:numPr>
              <w:jc w:val="both"/>
              <w:rPr>
                <w:i/>
                <w:iCs/>
                <w:lang w:val="en-US"/>
              </w:rPr>
            </w:pPr>
            <w:r w:rsidRPr="00A948CB">
              <w:rPr>
                <w:i/>
                <w:iCs/>
              </w:rPr>
              <w:t>Requirements for long DRX configurations in CONNECTED state</w:t>
            </w:r>
          </w:p>
          <w:p w14:paraId="2800C4E5" w14:textId="77777777" w:rsidR="00A948CB" w:rsidRPr="00A948CB" w:rsidRDefault="00A948CB" w:rsidP="00A948CB">
            <w:pPr>
              <w:numPr>
                <w:ilvl w:val="1"/>
                <w:numId w:val="9"/>
              </w:numPr>
              <w:jc w:val="both"/>
              <w:rPr>
                <w:i/>
                <w:iCs/>
                <w:lang w:val="en-US"/>
              </w:rPr>
            </w:pPr>
            <w:r w:rsidRPr="00A948CB">
              <w:rPr>
                <w:i/>
                <w:iCs/>
                <w:lang w:val="en-US"/>
              </w:rPr>
              <w:t xml:space="preserve">Option 1: </w:t>
            </w:r>
            <w:r w:rsidRPr="00A948CB">
              <w:rPr>
                <w:i/>
                <w:iCs/>
              </w:rPr>
              <w:t>Apply existing R16 requirements</w:t>
            </w:r>
          </w:p>
          <w:p w14:paraId="408E44F5" w14:textId="77777777" w:rsidR="00A948CB" w:rsidRPr="00A948CB" w:rsidRDefault="00A948CB" w:rsidP="00A948CB">
            <w:pPr>
              <w:numPr>
                <w:ilvl w:val="1"/>
                <w:numId w:val="9"/>
              </w:numPr>
              <w:jc w:val="both"/>
              <w:rPr>
                <w:i/>
                <w:iCs/>
                <w:lang w:val="en-US"/>
              </w:rPr>
            </w:pPr>
            <w:r w:rsidRPr="00A948CB">
              <w:rPr>
                <w:i/>
                <w:iCs/>
                <w:lang w:val="en-US"/>
              </w:rPr>
              <w:t xml:space="preserve">Option 2: </w:t>
            </w:r>
            <w:r w:rsidRPr="00A948CB">
              <w:rPr>
                <w:i/>
                <w:iCs/>
              </w:rPr>
              <w:t>Apply requirements for short DRX configurations</w:t>
            </w:r>
          </w:p>
          <w:p w14:paraId="2CF83496" w14:textId="77777777" w:rsidR="00A948CB" w:rsidRPr="00A948CB" w:rsidRDefault="00A948CB" w:rsidP="00A948CB">
            <w:pPr>
              <w:numPr>
                <w:ilvl w:val="1"/>
                <w:numId w:val="9"/>
              </w:numPr>
              <w:jc w:val="both"/>
              <w:rPr>
                <w:i/>
                <w:iCs/>
                <w:lang w:val="en-US"/>
              </w:rPr>
            </w:pPr>
            <w:r w:rsidRPr="00A948CB">
              <w:rPr>
                <w:i/>
                <w:iCs/>
              </w:rPr>
              <w:t xml:space="preserve">Option 3: </w:t>
            </w:r>
          </w:p>
          <w:p w14:paraId="49062034" w14:textId="77777777" w:rsidR="00A948CB" w:rsidRPr="00A948CB" w:rsidRDefault="00A948CB" w:rsidP="00A948CB">
            <w:pPr>
              <w:numPr>
                <w:ilvl w:val="2"/>
                <w:numId w:val="9"/>
              </w:numPr>
              <w:jc w:val="both"/>
              <w:rPr>
                <w:i/>
                <w:iCs/>
                <w:lang w:val="en-US"/>
              </w:rPr>
            </w:pPr>
            <w:r w:rsidRPr="00A948CB">
              <w:rPr>
                <w:i/>
                <w:iCs/>
              </w:rPr>
              <w:t xml:space="preserve">FFS the upper bound of DRX cycle which is determined based on the maximum target CPE speed. </w:t>
            </w:r>
          </w:p>
          <w:p w14:paraId="0B0E5032" w14:textId="77777777" w:rsidR="00A948CB" w:rsidRPr="00A948CB" w:rsidRDefault="00A948CB" w:rsidP="00A948CB">
            <w:pPr>
              <w:numPr>
                <w:ilvl w:val="2"/>
                <w:numId w:val="9"/>
              </w:numPr>
              <w:jc w:val="both"/>
              <w:rPr>
                <w:i/>
                <w:iCs/>
                <w:lang w:val="en-US"/>
              </w:rPr>
            </w:pPr>
            <w:r w:rsidRPr="00A948CB">
              <w:rPr>
                <w:i/>
                <w:iCs/>
              </w:rPr>
              <w:t xml:space="preserve">Enhancements are defined for small DRX cycle </w:t>
            </w:r>
            <w:proofErr w:type="gramStart"/>
            <w:r w:rsidRPr="00A948CB">
              <w:rPr>
                <w:i/>
                <w:iCs/>
              </w:rPr>
              <w:t>≤  the</w:t>
            </w:r>
            <w:proofErr w:type="gramEnd"/>
            <w:r w:rsidRPr="00A948CB">
              <w:rPr>
                <w:i/>
                <w:iCs/>
              </w:rPr>
              <w:t xml:space="preserve"> upper bound; </w:t>
            </w:r>
          </w:p>
          <w:p w14:paraId="0EF04A0B" w14:textId="082C456D" w:rsidR="001B79B4" w:rsidRPr="001B79B4" w:rsidRDefault="001B79B4" w:rsidP="00A948CB">
            <w:pPr>
              <w:jc w:val="both"/>
              <w:rPr>
                <w:i/>
                <w:iCs/>
                <w:lang w:val="en-US"/>
              </w:rPr>
            </w:pPr>
          </w:p>
        </w:tc>
      </w:tr>
    </w:tbl>
    <w:p w14:paraId="717234B3" w14:textId="0102ECC8" w:rsidR="008C6931" w:rsidRPr="00431B06" w:rsidRDefault="00DC3348" w:rsidP="00F01182">
      <w:pPr>
        <w:jc w:val="both"/>
      </w:pPr>
      <w:r w:rsidRPr="00431B06">
        <w:t xml:space="preserve">In this paper we </w:t>
      </w:r>
      <w:r w:rsidR="00553847" w:rsidRPr="00431B06">
        <w:t>provide our vie</w:t>
      </w:r>
      <w:r w:rsidR="00A800C6" w:rsidRPr="00431B06">
        <w:t>w</w:t>
      </w:r>
      <w:r w:rsidR="00553847" w:rsidRPr="00431B06">
        <w:t xml:space="preserve">s </w:t>
      </w:r>
      <w:r w:rsidR="00A948CB">
        <w:t>on the TCI state switching issue.</w:t>
      </w:r>
    </w:p>
    <w:p w14:paraId="0871E5A4" w14:textId="07811BF4" w:rsidR="00982F1A" w:rsidRPr="00074DFE" w:rsidRDefault="00F01182" w:rsidP="00074DFE">
      <w:pPr>
        <w:pStyle w:val="Heading1"/>
        <w:rPr>
          <w:rStyle w:val="fontstyle01"/>
          <w:rFonts w:ascii="Arial" w:hAnsi="Arial"/>
          <w:color w:val="auto"/>
          <w:sz w:val="36"/>
          <w:szCs w:val="20"/>
        </w:rPr>
      </w:pPr>
      <w:r>
        <w:t>Discussion</w:t>
      </w:r>
    </w:p>
    <w:p w14:paraId="3374C695" w14:textId="69326408" w:rsidR="002F689A" w:rsidRDefault="00496903" w:rsidP="00CB77C8">
      <w:pPr>
        <w:overflowPunct/>
        <w:autoSpaceDE/>
        <w:autoSpaceDN/>
        <w:adjustRightInd/>
        <w:spacing w:before="0" w:after="160" w:line="259" w:lineRule="auto"/>
        <w:textAlignment w:val="auto"/>
      </w:pPr>
      <w:r>
        <w:t xml:space="preserve">Our understanding of the general idea of known/unknown conditions is as follows: </w:t>
      </w:r>
      <w:r w:rsidR="00CB77C8" w:rsidRPr="00CB77C8">
        <w:t xml:space="preserve">TCI state is known if UE doesn’t need to perform Rx beam refinement for the target TCI state </w:t>
      </w:r>
      <w:proofErr w:type="gramStart"/>
      <w:r w:rsidR="00CB77C8" w:rsidRPr="00CB77C8">
        <w:t>in</w:t>
      </w:r>
      <w:r w:rsidR="00CB77C8">
        <w:t xml:space="preserve"> </w:t>
      </w:r>
      <w:r w:rsidR="00CB77C8" w:rsidRPr="00CB77C8">
        <w:t>order to</w:t>
      </w:r>
      <w:proofErr w:type="gramEnd"/>
      <w:r w:rsidR="00CB77C8" w:rsidRPr="00CB77C8">
        <w:t xml:space="preserve"> switch to it</w:t>
      </w:r>
      <w:r w:rsidR="002F689A">
        <w:t>.</w:t>
      </w:r>
      <w:r w:rsidR="00A948CB">
        <w:t xml:space="preserve"> </w:t>
      </w:r>
      <w:r>
        <w:t>I</w:t>
      </w:r>
      <w:r w:rsidR="00A948CB">
        <w:t xml:space="preserve">n [2][3] we propose </w:t>
      </w:r>
      <w:r>
        <w:t xml:space="preserve">to consider only Uni-directional deployment in FR2 HST and for Uni-directional scenario we propose to have 1 Rx beam. In this case </w:t>
      </w:r>
      <w:r w:rsidR="002F689A">
        <w:t xml:space="preserve">UE will not need to </w:t>
      </w:r>
      <w:r w:rsidR="00F64415">
        <w:t xml:space="preserve">perform </w:t>
      </w:r>
      <w:r w:rsidR="002F689A">
        <w:t>Rx beam</w:t>
      </w:r>
      <w:r w:rsidR="00F64415">
        <w:t xml:space="preserve"> refinement</w:t>
      </w:r>
      <w:r>
        <w:t xml:space="preserve"> during TCI state switching –</w:t>
      </w:r>
      <w:r w:rsidR="002F689A">
        <w:t xml:space="preserve"> it</w:t>
      </w:r>
      <w:r>
        <w:t xml:space="preserve"> </w:t>
      </w:r>
      <w:r w:rsidR="002F689A">
        <w:t xml:space="preserve">will always use the same </w:t>
      </w:r>
      <w:r w:rsidR="00A06CE8">
        <w:t xml:space="preserve">Rx </w:t>
      </w:r>
      <w:r>
        <w:t>beam</w:t>
      </w:r>
      <w:r w:rsidR="002F689A">
        <w:t xml:space="preserve">. That means </w:t>
      </w:r>
      <w:r w:rsidR="00A85196">
        <w:t xml:space="preserve">that </w:t>
      </w:r>
      <w:r w:rsidR="00F64415">
        <w:t>we</w:t>
      </w:r>
      <w:r w:rsidR="00A85196">
        <w:t xml:space="preserve"> can always consider known conditions for </w:t>
      </w:r>
      <w:r w:rsidR="00F64415">
        <w:t>TCI state switching in Uni-directional scenario FR2 HST</w:t>
      </w:r>
      <w:r w:rsidR="00A948CB">
        <w:t>.</w:t>
      </w:r>
      <w:r w:rsidR="00F64415">
        <w:t xml:space="preserve"> </w:t>
      </w:r>
    </w:p>
    <w:p w14:paraId="76627DF6" w14:textId="7AA22B1F" w:rsidR="00781AF7" w:rsidRDefault="00781AF7" w:rsidP="00781AF7">
      <w:pPr>
        <w:rPr>
          <w:b/>
          <w:bCs/>
          <w:lang w:val="en-US" w:eastAsia="ja-JP" w:bidi="hi-IN"/>
        </w:rPr>
      </w:pPr>
      <w:r w:rsidRPr="009B6F6B">
        <w:rPr>
          <w:b/>
          <w:bCs/>
          <w:lang w:val="en-US" w:eastAsia="ja-JP" w:bidi="hi-IN"/>
        </w:rPr>
        <w:t xml:space="preserve">Proposal </w:t>
      </w:r>
      <w:r>
        <w:rPr>
          <w:b/>
          <w:bCs/>
          <w:lang w:val="en-US" w:eastAsia="ja-JP" w:bidi="hi-IN"/>
        </w:rPr>
        <w:t>1</w:t>
      </w:r>
      <w:r w:rsidRPr="009B6F6B">
        <w:rPr>
          <w:b/>
          <w:bCs/>
          <w:lang w:val="en-US" w:eastAsia="ja-JP" w:bidi="hi-IN"/>
        </w:rPr>
        <w:t xml:space="preserve">: </w:t>
      </w:r>
      <w:r w:rsidR="00F64415">
        <w:rPr>
          <w:b/>
          <w:bCs/>
          <w:lang w:val="en-US" w:eastAsia="ja-JP" w:bidi="hi-IN"/>
        </w:rPr>
        <w:t>RAN4 always c</w:t>
      </w:r>
      <w:r w:rsidR="00F64415" w:rsidRPr="00F64415">
        <w:rPr>
          <w:b/>
          <w:bCs/>
          <w:lang w:val="en-US" w:eastAsia="ja-JP" w:bidi="hi-IN"/>
        </w:rPr>
        <w:t>onsider known conditions for TCI state switching in Uni-directional scenario FR2 HST</w:t>
      </w:r>
    </w:p>
    <w:p w14:paraId="50CB7032" w14:textId="7EBD13C8" w:rsidR="006B3ED4" w:rsidRDefault="00C324B4" w:rsidP="00781AF7">
      <w:pPr>
        <w:rPr>
          <w:lang w:val="en-US" w:eastAsia="ja-JP" w:bidi="hi-IN"/>
        </w:rPr>
      </w:pPr>
      <w:r w:rsidRPr="00C324B4">
        <w:rPr>
          <w:lang w:val="en-US" w:eastAsia="ja-JP" w:bidi="hi-IN"/>
        </w:rPr>
        <w:t xml:space="preserve">Another issue regarding </w:t>
      </w:r>
      <w:r>
        <w:rPr>
          <w:lang w:val="en-US" w:eastAsia="ja-JP" w:bidi="hi-IN"/>
        </w:rPr>
        <w:t xml:space="preserve">TCI state switching is whether </w:t>
      </w:r>
      <w:r w:rsidR="00CF35CB">
        <w:rPr>
          <w:lang w:val="en-US" w:eastAsia="ja-JP" w:bidi="hi-IN"/>
        </w:rPr>
        <w:t>we have</w:t>
      </w:r>
      <w:r>
        <w:rPr>
          <w:lang w:val="en-US" w:eastAsia="ja-JP" w:bidi="hi-IN"/>
        </w:rPr>
        <w:t xml:space="preserve"> sufficient time to trigger it</w:t>
      </w:r>
      <w:r w:rsidR="00CF35CB">
        <w:rPr>
          <w:lang w:val="en-US" w:eastAsia="ja-JP" w:bidi="hi-IN"/>
        </w:rPr>
        <w:t xml:space="preserve"> in case when the serving signal suddenly degrades</w:t>
      </w:r>
      <w:r>
        <w:rPr>
          <w:lang w:val="en-US" w:eastAsia="ja-JP" w:bidi="hi-IN"/>
        </w:rPr>
        <w:t xml:space="preserve">. </w:t>
      </w:r>
      <w:r w:rsidR="006B3ED4">
        <w:rPr>
          <w:lang w:val="en-US" w:eastAsia="ja-JP" w:bidi="hi-IN"/>
        </w:rPr>
        <w:t>In general</w:t>
      </w:r>
      <w:r w:rsidR="005B7FB4">
        <w:rPr>
          <w:lang w:val="en-US" w:eastAsia="ja-JP" w:bidi="hi-IN"/>
        </w:rPr>
        <w:t>,</w:t>
      </w:r>
      <w:r w:rsidR="006B3ED4">
        <w:rPr>
          <w:lang w:val="en-US" w:eastAsia="ja-JP" w:bidi="hi-IN"/>
        </w:rPr>
        <w:t xml:space="preserve"> the TCI state switching </w:t>
      </w:r>
      <w:r>
        <w:rPr>
          <w:lang w:val="en-US" w:eastAsia="ja-JP" w:bidi="hi-IN"/>
        </w:rPr>
        <w:t xml:space="preserve">trigger </w:t>
      </w:r>
      <w:r w:rsidR="006B3ED4">
        <w:rPr>
          <w:lang w:val="en-US" w:eastAsia="ja-JP" w:bidi="hi-IN"/>
        </w:rPr>
        <w:t xml:space="preserve">is implementation dependent. However, we think that it should </w:t>
      </w:r>
      <w:r>
        <w:rPr>
          <w:lang w:val="en-US" w:eastAsia="ja-JP" w:bidi="hi-IN"/>
        </w:rPr>
        <w:t xml:space="preserve">anyway </w:t>
      </w:r>
      <w:r w:rsidR="006B3ED4">
        <w:rPr>
          <w:lang w:val="en-US" w:eastAsia="ja-JP" w:bidi="hi-IN"/>
        </w:rPr>
        <w:t>be based on L1-RSRP measurement</w:t>
      </w:r>
      <w:r w:rsidR="005B7FB4">
        <w:rPr>
          <w:lang w:val="en-US" w:eastAsia="ja-JP" w:bidi="hi-IN"/>
        </w:rPr>
        <w:t xml:space="preserve"> – the TCI state </w:t>
      </w:r>
      <w:r w:rsidR="008F352D">
        <w:rPr>
          <w:lang w:val="en-US" w:eastAsia="ja-JP" w:bidi="hi-IN"/>
        </w:rPr>
        <w:t xml:space="preserve">should be changed </w:t>
      </w:r>
      <w:r w:rsidR="005B7FB4">
        <w:rPr>
          <w:lang w:val="en-US" w:eastAsia="ja-JP" w:bidi="hi-IN"/>
        </w:rPr>
        <w:t>when the signal from target beam becomes stronger tha</w:t>
      </w:r>
      <w:r>
        <w:rPr>
          <w:lang w:val="en-US" w:eastAsia="ja-JP" w:bidi="hi-IN"/>
        </w:rPr>
        <w:t>n</w:t>
      </w:r>
      <w:r w:rsidR="005B7FB4">
        <w:rPr>
          <w:lang w:val="en-US" w:eastAsia="ja-JP" w:bidi="hi-IN"/>
        </w:rPr>
        <w:t xml:space="preserve"> from the serving beam.</w:t>
      </w:r>
      <w:r w:rsidR="00397A08">
        <w:rPr>
          <w:lang w:val="en-US" w:eastAsia="ja-JP" w:bidi="hi-IN"/>
        </w:rPr>
        <w:t xml:space="preserve"> For the case when the train moves towards the RRH beam the signal from the serving beam degrades very fast when UE passes the RRH. In this case </w:t>
      </w:r>
      <w:r w:rsidR="00397A08" w:rsidRPr="00397A08">
        <w:rPr>
          <w:lang w:val="en-US" w:eastAsia="ja-JP" w:bidi="hi-IN"/>
        </w:rPr>
        <w:t>RRH becomes unavailable before it could identify the need for TCI state switching and send corresponding command to UE</w:t>
      </w:r>
      <w:r w:rsidR="00397A08">
        <w:rPr>
          <w:lang w:val="en-US" w:eastAsia="ja-JP" w:bidi="hi-IN"/>
        </w:rPr>
        <w:t>.</w:t>
      </w:r>
    </w:p>
    <w:p w14:paraId="3A012A37" w14:textId="1EEBB180" w:rsidR="00C324B4" w:rsidRPr="00CF35CB" w:rsidRDefault="00C324B4" w:rsidP="00781AF7">
      <w:pPr>
        <w:rPr>
          <w:b/>
          <w:bCs/>
          <w:lang w:val="en-US" w:eastAsia="ja-JP" w:bidi="hi-IN"/>
        </w:rPr>
      </w:pPr>
      <w:r>
        <w:rPr>
          <w:b/>
          <w:bCs/>
          <w:lang w:val="en-US" w:eastAsia="ja-JP" w:bidi="hi-IN"/>
        </w:rPr>
        <w:lastRenderedPageBreak/>
        <w:t xml:space="preserve">Observation 1: For the train moving towards the </w:t>
      </w:r>
      <w:r w:rsidR="008F6BCC">
        <w:rPr>
          <w:b/>
          <w:bCs/>
          <w:lang w:val="en-US" w:eastAsia="ja-JP" w:bidi="hi-IN"/>
        </w:rPr>
        <w:t xml:space="preserve">RRH </w:t>
      </w:r>
      <w:r>
        <w:rPr>
          <w:b/>
          <w:bCs/>
          <w:lang w:val="en-US" w:eastAsia="ja-JP" w:bidi="hi-IN"/>
        </w:rPr>
        <w:t xml:space="preserve">beam when </w:t>
      </w:r>
      <w:r w:rsidRPr="0049070E">
        <w:rPr>
          <w:b/>
          <w:bCs/>
          <w:lang w:val="en-US" w:eastAsia="ja-JP" w:bidi="hi-IN"/>
        </w:rPr>
        <w:t xml:space="preserve">UE </w:t>
      </w:r>
      <w:r>
        <w:rPr>
          <w:b/>
          <w:bCs/>
          <w:lang w:val="en-US" w:eastAsia="ja-JP" w:bidi="hi-IN"/>
        </w:rPr>
        <w:t xml:space="preserve">approaches </w:t>
      </w:r>
      <w:r w:rsidRPr="0049070E">
        <w:rPr>
          <w:b/>
          <w:bCs/>
          <w:lang w:val="en-US" w:eastAsia="ja-JP" w:bidi="hi-IN"/>
        </w:rPr>
        <w:t xml:space="preserve">serving RRH the serving beam SNR </w:t>
      </w:r>
      <w:r>
        <w:rPr>
          <w:b/>
          <w:bCs/>
          <w:lang w:val="en-US" w:eastAsia="ja-JP" w:bidi="hi-IN"/>
        </w:rPr>
        <w:t xml:space="preserve">degrades very fast </w:t>
      </w:r>
      <w:r w:rsidRPr="0049070E">
        <w:rPr>
          <w:b/>
          <w:bCs/>
          <w:lang w:val="en-US" w:eastAsia="ja-JP" w:bidi="hi-IN"/>
        </w:rPr>
        <w:t xml:space="preserve">so that </w:t>
      </w:r>
      <w:r>
        <w:rPr>
          <w:b/>
          <w:bCs/>
          <w:lang w:val="en-US" w:eastAsia="ja-JP" w:bidi="hi-IN"/>
        </w:rPr>
        <w:t>the RRH</w:t>
      </w:r>
      <w:r w:rsidRPr="0049070E">
        <w:rPr>
          <w:b/>
          <w:bCs/>
          <w:lang w:val="en-US" w:eastAsia="ja-JP" w:bidi="hi-IN"/>
        </w:rPr>
        <w:t xml:space="preserve"> becomes unavailable </w:t>
      </w:r>
      <w:r>
        <w:rPr>
          <w:b/>
          <w:bCs/>
          <w:lang w:val="en-US" w:eastAsia="ja-JP" w:bidi="hi-IN"/>
        </w:rPr>
        <w:t>before it could identify the need for TCI state switching and send corresponding command to UE.</w:t>
      </w:r>
    </w:p>
    <w:p w14:paraId="613CC249" w14:textId="1BB89CAC" w:rsidR="009C6DCB" w:rsidRDefault="008F6BCC" w:rsidP="00781AF7">
      <w:pPr>
        <w:rPr>
          <w:lang w:val="en-US" w:eastAsia="ja-JP" w:bidi="hi-IN"/>
        </w:rPr>
      </w:pPr>
      <w:r>
        <w:rPr>
          <w:rFonts w:ascii="Times-Roman" w:hAnsi="Times-Roman"/>
          <w:lang w:val="en-US"/>
        </w:rPr>
        <w:t>Figure 4 shows the DL SNR from two neighboring RRH along the track</w:t>
      </w:r>
      <w:r w:rsidR="00CF35CB">
        <w:rPr>
          <w:rFonts w:ascii="Times-Roman" w:hAnsi="Times-Roman"/>
          <w:lang w:val="en-US"/>
        </w:rPr>
        <w:t>. At first UE is served by RRH#1, then a</w:t>
      </w:r>
      <w:r w:rsidR="009C6DCB">
        <w:rPr>
          <w:lang w:val="en-US" w:eastAsia="ja-JP" w:bidi="hi-IN"/>
        </w:rPr>
        <w:t xml:space="preserve">t point </w:t>
      </w:r>
      <w:r w:rsidR="009C6DCB" w:rsidRPr="00BA4130">
        <w:rPr>
          <w:b/>
          <w:bCs/>
          <w:lang w:val="en-US" w:eastAsia="ja-JP" w:bidi="hi-IN"/>
        </w:rPr>
        <w:t>A</w:t>
      </w:r>
      <w:r w:rsidR="009C6DCB">
        <w:rPr>
          <w:lang w:val="en-US" w:eastAsia="ja-JP" w:bidi="hi-IN"/>
        </w:rPr>
        <w:t xml:space="preserve"> the signal from RRH#2 becomes stronger than the signal from RRH#1. UE needs to </w:t>
      </w:r>
      <w:r w:rsidR="00954DBA">
        <w:rPr>
          <w:lang w:val="en-US" w:eastAsia="ja-JP" w:bidi="hi-IN"/>
        </w:rPr>
        <w:t>report that to RRH#1 so that it could trigger TCI state switching. But in 20 meters after point A the serving RRH will be unavailable.</w:t>
      </w:r>
      <w:r w:rsidR="00F047BD">
        <w:rPr>
          <w:lang w:val="en-US" w:eastAsia="ja-JP" w:bidi="hi-IN"/>
        </w:rPr>
        <w:t xml:space="preserve"> Within these 20 meters UE need to report L1-RSRP measurement for network to know that it should change TCI state. </w:t>
      </w:r>
      <w:r w:rsidR="00954DBA">
        <w:rPr>
          <w:lang w:val="en-US" w:eastAsia="ja-JP" w:bidi="hi-IN"/>
        </w:rPr>
        <w:t>Tha</w:t>
      </w:r>
      <w:r w:rsidR="00F047BD">
        <w:rPr>
          <w:lang w:val="en-US" w:eastAsia="ja-JP" w:bidi="hi-IN"/>
        </w:rPr>
        <w:t>t</w:t>
      </w:r>
      <w:r w:rsidR="00954DBA">
        <w:rPr>
          <w:lang w:val="en-US" w:eastAsia="ja-JP" w:bidi="hi-IN"/>
        </w:rPr>
        <w:t xml:space="preserve"> gives us T</w:t>
      </w:r>
      <w:r w:rsidR="00954DBA" w:rsidRPr="00954DBA">
        <w:rPr>
          <w:vertAlign w:val="subscript"/>
          <w:lang w:val="en-US" w:eastAsia="ja-JP" w:bidi="hi-IN"/>
        </w:rPr>
        <w:t>L1-RSRP</w:t>
      </w:r>
      <w:r w:rsidR="00954DBA">
        <w:rPr>
          <w:vertAlign w:val="subscript"/>
          <w:lang w:val="en-US" w:eastAsia="ja-JP" w:bidi="hi-IN"/>
        </w:rPr>
        <w:t>_</w:t>
      </w:r>
      <w:r w:rsidR="00954DBA" w:rsidRPr="00954DBA">
        <w:rPr>
          <w:vertAlign w:val="subscript"/>
          <w:lang w:val="en-US" w:eastAsia="ja-JP" w:bidi="hi-IN"/>
        </w:rPr>
        <w:t>Measurement_Period_SSB</w:t>
      </w:r>
      <w:r w:rsidR="00954DBA" w:rsidRPr="00954DBA">
        <w:rPr>
          <w:lang w:val="en-US" w:eastAsia="ja-JP" w:bidi="hi-IN"/>
        </w:rPr>
        <w:t xml:space="preserve"> </w:t>
      </w:r>
      <w:r w:rsidR="00954DBA">
        <w:rPr>
          <w:lang w:val="en-US" w:eastAsia="ja-JP" w:bidi="hi-IN"/>
        </w:rPr>
        <w:t>&lt; 200ms</w:t>
      </w:r>
      <w:r w:rsidR="00CF35CB">
        <w:rPr>
          <w:lang w:val="en-US" w:eastAsia="ja-JP" w:bidi="hi-IN"/>
        </w:rPr>
        <w:t xml:space="preserve">. </w:t>
      </w:r>
      <w:r w:rsidR="00A14727">
        <w:rPr>
          <w:lang w:val="en-US" w:eastAsia="ja-JP" w:bidi="hi-IN"/>
        </w:rPr>
        <w:t>With that limit we can define the upper bound of DRX cycle for HST FR2</w:t>
      </w:r>
    </w:p>
    <w:p w14:paraId="46F9F1AE" w14:textId="77777777" w:rsidR="00BA4130" w:rsidRDefault="00BA4130" w:rsidP="00781AF7">
      <w:pPr>
        <w:rPr>
          <w:lang w:val="en-US" w:eastAsia="ja-JP" w:bidi="hi-IN"/>
        </w:rPr>
      </w:pPr>
    </w:p>
    <w:p w14:paraId="0BD3D866" w14:textId="5FB062BD" w:rsidR="009C6DCB" w:rsidRPr="009C6DCB" w:rsidRDefault="009C6DCB" w:rsidP="00781AF7">
      <w:pPr>
        <w:rPr>
          <w:lang w:val="en-US" w:eastAsia="ja-JP" w:bidi="hi-I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4130" w14:paraId="399DA1CB" w14:textId="77777777" w:rsidTr="00BA4130">
        <w:tc>
          <w:tcPr>
            <w:tcW w:w="9629" w:type="dxa"/>
          </w:tcPr>
          <w:p w14:paraId="387B1C0C" w14:textId="77777777" w:rsidR="00BA4130" w:rsidRDefault="00BA4130" w:rsidP="00781AF7">
            <w:r>
              <w:object w:dxaOrig="14326" w:dyaOrig="4860" w14:anchorId="7EE3374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8.3pt;height:167.65pt" o:ole="">
                  <v:imagedata r:id="rId7" o:title="" cropleft="4782f" cropright="4598f"/>
                </v:shape>
                <o:OLEObject Type="Embed" ProgID="Visio.Drawing.15" ShapeID="_x0000_i1025" DrawAspect="Content" ObjectID="_1689799714" r:id="rId8"/>
              </w:object>
            </w:r>
          </w:p>
          <w:p w14:paraId="49400F74" w14:textId="23376818" w:rsidR="00F047BD" w:rsidRDefault="00F047BD" w:rsidP="00F047BD">
            <w:pPr>
              <w:jc w:val="center"/>
              <w:rPr>
                <w:lang w:val="en-US" w:eastAsia="ja-JP" w:bidi="hi-IN"/>
              </w:rPr>
            </w:pPr>
            <w:r>
              <w:rPr>
                <w:rFonts w:ascii="Times-Roman" w:hAnsi="Times-Roman"/>
                <w:lang w:val="en-US"/>
              </w:rPr>
              <w:t xml:space="preserve">Figure 1. DL SNR from two neighboring RRH along the track. </w:t>
            </w:r>
            <w:r>
              <w:rPr>
                <w:lang w:val="en-US" w:eastAsia="ja-JP" w:bidi="hi-IN"/>
              </w:rPr>
              <w:t>Shaded area is the area where UE need to report L1-RSRP measurement for network to know that it should change TCI state</w:t>
            </w:r>
          </w:p>
        </w:tc>
      </w:tr>
    </w:tbl>
    <w:p w14:paraId="6CE088CF" w14:textId="77777777" w:rsidR="00A06CE8" w:rsidRDefault="00A06CE8" w:rsidP="00A14727">
      <w:pPr>
        <w:tabs>
          <w:tab w:val="left" w:pos="0"/>
        </w:tabs>
        <w:jc w:val="both"/>
        <w:rPr>
          <w:bCs/>
        </w:rPr>
      </w:pPr>
    </w:p>
    <w:p w14:paraId="5CC881F8" w14:textId="3EAF79CD" w:rsidR="00A14727" w:rsidRDefault="00A14727" w:rsidP="00A14727">
      <w:pPr>
        <w:tabs>
          <w:tab w:val="left" w:pos="0"/>
        </w:tabs>
        <w:jc w:val="both"/>
        <w:rPr>
          <w:rFonts w:ascii="Times-Roman" w:hAnsi="Times-Roman" w:hint="eastAsia"/>
        </w:rPr>
      </w:pPr>
      <w:r w:rsidRPr="00791DD2">
        <w:rPr>
          <w:bCs/>
        </w:rPr>
        <w:t xml:space="preserve">For L1-RSRP measurement period </w:t>
      </w:r>
      <w:r w:rsidRPr="00063DCA">
        <w:rPr>
          <w:rFonts w:ascii="Times-Roman" w:hAnsi="Times-Roman"/>
        </w:rPr>
        <w:t>TS 38.133 defines</w:t>
      </w:r>
      <w:r>
        <w:rPr>
          <w:rFonts w:ascii="Times-Roman" w:hAnsi="Times-Roman"/>
        </w:rPr>
        <w:t xml:space="preserve">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14727" w14:paraId="0A386E53" w14:textId="77777777" w:rsidTr="00D95168">
        <w:tc>
          <w:tcPr>
            <w:tcW w:w="9629" w:type="dxa"/>
          </w:tcPr>
          <w:p w14:paraId="132EECA0" w14:textId="77777777" w:rsidR="00A14727" w:rsidRDefault="00A14727" w:rsidP="00D95168">
            <w:pPr>
              <w:tabs>
                <w:tab w:val="left" w:pos="0"/>
              </w:tabs>
              <w:jc w:val="center"/>
              <w:rPr>
                <w:bCs/>
                <w:color w:val="FF0000"/>
              </w:rPr>
            </w:pPr>
            <w:r>
              <w:rPr>
                <w:bCs/>
                <w:noProof/>
                <w:color w:val="FF0000"/>
              </w:rPr>
              <w:drawing>
                <wp:inline distT="0" distB="0" distL="0" distR="0" wp14:anchorId="2D7D5862" wp14:editId="3CB47BBF">
                  <wp:extent cx="4834393" cy="1464222"/>
                  <wp:effectExtent l="0" t="0" r="4445" b="317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9309" cy="1468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56E9F51" w14:textId="0FCBC01B" w:rsidR="00AC62B0" w:rsidRPr="00A948CB" w:rsidRDefault="00A14727" w:rsidP="00A948CB">
      <w:pPr>
        <w:tabs>
          <w:tab w:val="left" w:pos="0"/>
        </w:tabs>
        <w:jc w:val="both"/>
        <w:rPr>
          <w:bCs/>
        </w:rPr>
      </w:pPr>
      <w:r>
        <w:rPr>
          <w:bCs/>
        </w:rPr>
        <w:t xml:space="preserve">Considering minimal possible values for </w:t>
      </w:r>
      <w:r w:rsidRPr="00EA474A">
        <w:rPr>
          <w:bCs/>
          <w:i/>
          <w:iCs/>
        </w:rPr>
        <w:t>M</w:t>
      </w:r>
      <w:r>
        <w:rPr>
          <w:bCs/>
        </w:rPr>
        <w:t xml:space="preserve"> and </w:t>
      </w:r>
      <w:r w:rsidRPr="00EA474A">
        <w:rPr>
          <w:bCs/>
          <w:i/>
          <w:iCs/>
        </w:rPr>
        <w:t>P</w:t>
      </w:r>
      <w:r>
        <w:rPr>
          <w:bCs/>
        </w:rPr>
        <w:t xml:space="preserve"> (</w:t>
      </w:r>
      <w:r w:rsidRPr="00EA474A">
        <w:rPr>
          <w:bCs/>
          <w:i/>
          <w:iCs/>
        </w:rPr>
        <w:t>M</w:t>
      </w:r>
      <w:r>
        <w:rPr>
          <w:bCs/>
        </w:rPr>
        <w:t>=</w:t>
      </w:r>
      <w:r w:rsidRPr="00EA474A">
        <w:rPr>
          <w:bCs/>
          <w:i/>
          <w:iCs/>
        </w:rPr>
        <w:t>P</w:t>
      </w:r>
      <w:r>
        <w:rPr>
          <w:bCs/>
        </w:rPr>
        <w:t>=1) and considering only 1 Rx beam is used for L1 measurements (</w:t>
      </w:r>
      <w:r w:rsidRPr="00EA474A">
        <w:rPr>
          <w:bCs/>
          <w:i/>
          <w:iCs/>
        </w:rPr>
        <w:t>N</w:t>
      </w:r>
      <w:r>
        <w:rPr>
          <w:bCs/>
        </w:rPr>
        <w:t xml:space="preserve">=1) </w:t>
      </w:r>
      <w:r w:rsidR="0022725D">
        <w:rPr>
          <w:bCs/>
        </w:rPr>
        <w:t xml:space="preserve">to ensure </w:t>
      </w:r>
      <w:r>
        <w:rPr>
          <w:bCs/>
        </w:rPr>
        <w:t xml:space="preserve">L1-RSRP measurement period </w:t>
      </w:r>
      <w:r w:rsidR="0022725D">
        <w:rPr>
          <w:bCs/>
        </w:rPr>
        <w:t xml:space="preserve">to be lower than 200ms DRX cycle should be below 128ms. </w:t>
      </w:r>
      <w:r w:rsidR="00EA474A">
        <w:rPr>
          <w:bCs/>
        </w:rPr>
        <w:t xml:space="preserve">However, it is unlikely that sharing factor </w:t>
      </w:r>
      <w:r w:rsidR="00EA474A" w:rsidRPr="00EA474A">
        <w:rPr>
          <w:bCs/>
          <w:i/>
          <w:iCs/>
        </w:rPr>
        <w:t>P</w:t>
      </w:r>
      <w:r w:rsidR="00EA474A">
        <w:rPr>
          <w:bCs/>
        </w:rPr>
        <w:t xml:space="preserve"> will always be 1, so we propose to assume </w:t>
      </w:r>
      <w:r w:rsidR="00EA474A" w:rsidRPr="00847EFD">
        <w:rPr>
          <w:bCs/>
          <w:i/>
          <w:iCs/>
        </w:rPr>
        <w:t>P</w:t>
      </w:r>
      <w:r w:rsidR="00847EFD">
        <w:rPr>
          <w:bCs/>
        </w:rPr>
        <w:t xml:space="preserve"> </w:t>
      </w:r>
      <w:r w:rsidR="00EA474A">
        <w:rPr>
          <w:bCs/>
        </w:rPr>
        <w:t>=</w:t>
      </w:r>
      <w:r w:rsidR="00847EFD">
        <w:rPr>
          <w:bCs/>
        </w:rPr>
        <w:t xml:space="preserve"> 2</w:t>
      </w:r>
      <w:r w:rsidR="00EA474A">
        <w:rPr>
          <w:bCs/>
        </w:rPr>
        <w:t xml:space="preserve"> </w:t>
      </w:r>
      <w:r w:rsidR="00847EFD">
        <w:rPr>
          <w:bCs/>
        </w:rPr>
        <w:t xml:space="preserve">and </w:t>
      </w:r>
      <w:r w:rsidR="00EA474A">
        <w:rPr>
          <w:bCs/>
        </w:rPr>
        <w:t xml:space="preserve">define upper bound of DRX cycle equal to </w:t>
      </w:r>
      <w:r w:rsidR="00847EFD">
        <w:rPr>
          <w:bCs/>
        </w:rPr>
        <w:t>6</w:t>
      </w:r>
      <w:r w:rsidR="00EA474A">
        <w:rPr>
          <w:bCs/>
        </w:rPr>
        <w:t xml:space="preserve">0ms. </w:t>
      </w:r>
      <w:r w:rsidR="00C06824">
        <w:rPr>
          <w:bCs/>
        </w:rPr>
        <w:t xml:space="preserve">For </w:t>
      </w:r>
      <w:r w:rsidR="00C06824" w:rsidRPr="00C06824">
        <w:rPr>
          <w:bCs/>
        </w:rPr>
        <w:t>DRX cycle &gt; the upper bound</w:t>
      </w:r>
      <w:r w:rsidR="00D306A8">
        <w:rPr>
          <w:bCs/>
        </w:rPr>
        <w:t xml:space="preserve"> UE can not guarantee that it can operate in FR2 HST</w:t>
      </w:r>
      <w:r w:rsidR="00C06824" w:rsidRPr="00C06824">
        <w:rPr>
          <w:bCs/>
        </w:rPr>
        <w:t>, existing Rel-16 FR2 requirements are reused</w:t>
      </w:r>
    </w:p>
    <w:p w14:paraId="3FB8348B" w14:textId="7C84923B" w:rsidR="00BF6D8E" w:rsidRDefault="00781AF7" w:rsidP="00CB77C8">
      <w:pPr>
        <w:overflowPunct/>
        <w:autoSpaceDE/>
        <w:autoSpaceDN/>
        <w:adjustRightInd/>
        <w:spacing w:before="0" w:after="160" w:line="259" w:lineRule="auto"/>
        <w:textAlignment w:val="auto"/>
        <w:rPr>
          <w:rFonts w:ascii="Times-Roman" w:hAnsi="Times-Roman" w:hint="eastAsia"/>
          <w:b/>
          <w:bCs/>
          <w:lang w:val="en-US"/>
        </w:rPr>
      </w:pPr>
      <w:r>
        <w:rPr>
          <w:rFonts w:ascii="Times-Roman" w:hAnsi="Times-Roman"/>
          <w:b/>
          <w:bCs/>
          <w:lang w:val="en-US"/>
        </w:rPr>
        <w:t>Proposal 2:</w:t>
      </w:r>
      <w:r w:rsidR="00CF35CB">
        <w:rPr>
          <w:rFonts w:ascii="Times-Roman" w:hAnsi="Times-Roman"/>
          <w:b/>
          <w:bCs/>
          <w:lang w:val="en-US"/>
        </w:rPr>
        <w:t xml:space="preserve"> </w:t>
      </w:r>
      <w:r w:rsidR="00A14727">
        <w:rPr>
          <w:rFonts w:ascii="Times-Roman" w:hAnsi="Times-Roman"/>
          <w:b/>
          <w:bCs/>
          <w:lang w:val="en-US"/>
        </w:rPr>
        <w:t xml:space="preserve">For FR2 HST consider upper bound </w:t>
      </w:r>
      <w:r w:rsidR="00D306A8">
        <w:rPr>
          <w:rFonts w:ascii="Times-Roman" w:hAnsi="Times-Roman"/>
          <w:b/>
          <w:bCs/>
          <w:lang w:val="en-US"/>
        </w:rPr>
        <w:t xml:space="preserve">of DRX cycle equal to </w:t>
      </w:r>
      <w:r w:rsidR="00847EFD">
        <w:rPr>
          <w:rFonts w:ascii="Times-Roman" w:hAnsi="Times-Roman"/>
          <w:b/>
          <w:bCs/>
          <w:lang w:val="en-US"/>
        </w:rPr>
        <w:t>60ms</w:t>
      </w:r>
    </w:p>
    <w:p w14:paraId="73889E51" w14:textId="0AD4C9DD" w:rsidR="00705979" w:rsidRPr="00847EFD" w:rsidRDefault="00847EFD" w:rsidP="00905604">
      <w:pPr>
        <w:rPr>
          <w:rFonts w:ascii="Times-Roman" w:hAnsi="Times-Roman" w:hint="eastAsia"/>
          <w:b/>
          <w:bCs/>
          <w:lang w:val="en-US"/>
        </w:rPr>
      </w:pPr>
      <w:r w:rsidRPr="00847EFD">
        <w:rPr>
          <w:rFonts w:ascii="Times-Roman" w:hAnsi="Times-Roman"/>
          <w:b/>
          <w:bCs/>
          <w:lang w:val="en-US"/>
        </w:rPr>
        <w:t xml:space="preserve">Proposal 3: </w:t>
      </w:r>
      <w:r w:rsidRPr="00847EFD">
        <w:rPr>
          <w:b/>
          <w:bCs/>
        </w:rPr>
        <w:t>For DRX cycle &gt; the upper bound existing Rel-16 FR2 requirements are reused</w:t>
      </w:r>
    </w:p>
    <w:p w14:paraId="27F252CA" w14:textId="196C3742" w:rsidR="00705979" w:rsidRDefault="00705979" w:rsidP="00905604">
      <w:pPr>
        <w:rPr>
          <w:rFonts w:ascii="Times-Roman" w:hAnsi="Times-Roman" w:hint="eastAsia"/>
          <w:b/>
          <w:bCs/>
          <w:lang w:val="en-US"/>
        </w:rPr>
      </w:pPr>
    </w:p>
    <w:p w14:paraId="06B0650C" w14:textId="77777777" w:rsidR="00F01182" w:rsidRPr="00146B4F" w:rsidRDefault="00F01182" w:rsidP="00F01182">
      <w:pPr>
        <w:pStyle w:val="Heading1"/>
      </w:pPr>
      <w:r w:rsidRPr="00146B4F">
        <w:t>Conclusion</w:t>
      </w:r>
    </w:p>
    <w:p w14:paraId="38213628" w14:textId="66F756DA" w:rsidR="00F01182" w:rsidRDefault="00E236ED" w:rsidP="00F01182">
      <w:pPr>
        <w:tabs>
          <w:tab w:val="left" w:pos="709"/>
        </w:tabs>
        <w:spacing w:before="60" w:after="60"/>
        <w:jc w:val="both"/>
      </w:pPr>
      <w:r w:rsidRPr="00431B06">
        <w:t xml:space="preserve">In this paper we provide our views </w:t>
      </w:r>
      <w:r>
        <w:t>on the TCI state switching issue</w:t>
      </w:r>
      <w:r w:rsidR="00A47C50">
        <w:t xml:space="preserve">. The following proposals were </w:t>
      </w:r>
      <w:r w:rsidR="00F01182">
        <w:t>made:</w:t>
      </w:r>
    </w:p>
    <w:p w14:paraId="3234807C" w14:textId="77777777" w:rsidR="00A948CB" w:rsidRDefault="00A948CB" w:rsidP="00A948CB">
      <w:pPr>
        <w:rPr>
          <w:b/>
          <w:bCs/>
          <w:lang w:val="en-US" w:eastAsia="ja-JP" w:bidi="hi-IN"/>
        </w:rPr>
      </w:pPr>
      <w:r w:rsidRPr="009B6F6B">
        <w:rPr>
          <w:b/>
          <w:bCs/>
          <w:lang w:val="en-US" w:eastAsia="ja-JP" w:bidi="hi-IN"/>
        </w:rPr>
        <w:lastRenderedPageBreak/>
        <w:t xml:space="preserve">Proposal </w:t>
      </w:r>
      <w:r>
        <w:rPr>
          <w:b/>
          <w:bCs/>
          <w:lang w:val="en-US" w:eastAsia="ja-JP" w:bidi="hi-IN"/>
        </w:rPr>
        <w:t>1</w:t>
      </w:r>
      <w:r w:rsidRPr="009B6F6B">
        <w:rPr>
          <w:b/>
          <w:bCs/>
          <w:lang w:val="en-US" w:eastAsia="ja-JP" w:bidi="hi-IN"/>
        </w:rPr>
        <w:t xml:space="preserve">: </w:t>
      </w:r>
      <w:r>
        <w:rPr>
          <w:b/>
          <w:bCs/>
          <w:lang w:val="en-US" w:eastAsia="ja-JP" w:bidi="hi-IN"/>
        </w:rPr>
        <w:t>RAN4 always c</w:t>
      </w:r>
      <w:r w:rsidRPr="00F64415">
        <w:rPr>
          <w:b/>
          <w:bCs/>
          <w:lang w:val="en-US" w:eastAsia="ja-JP" w:bidi="hi-IN"/>
        </w:rPr>
        <w:t>onsider known conditions for TCI state switching in Uni-directional scenario FR2 HST</w:t>
      </w:r>
    </w:p>
    <w:p w14:paraId="5384EF25" w14:textId="77777777" w:rsidR="00A948CB" w:rsidRPr="00CF35CB" w:rsidRDefault="00A948CB" w:rsidP="00A948CB">
      <w:pPr>
        <w:rPr>
          <w:b/>
          <w:bCs/>
          <w:lang w:val="en-US" w:eastAsia="ja-JP" w:bidi="hi-IN"/>
        </w:rPr>
      </w:pPr>
      <w:r>
        <w:rPr>
          <w:b/>
          <w:bCs/>
          <w:lang w:val="en-US" w:eastAsia="ja-JP" w:bidi="hi-IN"/>
        </w:rPr>
        <w:t xml:space="preserve">Observation 1: For the train moving towards the RRH beam when </w:t>
      </w:r>
      <w:r w:rsidRPr="0049070E">
        <w:rPr>
          <w:b/>
          <w:bCs/>
          <w:lang w:val="en-US" w:eastAsia="ja-JP" w:bidi="hi-IN"/>
        </w:rPr>
        <w:t xml:space="preserve">UE </w:t>
      </w:r>
      <w:r>
        <w:rPr>
          <w:b/>
          <w:bCs/>
          <w:lang w:val="en-US" w:eastAsia="ja-JP" w:bidi="hi-IN"/>
        </w:rPr>
        <w:t xml:space="preserve">approaches </w:t>
      </w:r>
      <w:r w:rsidRPr="0049070E">
        <w:rPr>
          <w:b/>
          <w:bCs/>
          <w:lang w:val="en-US" w:eastAsia="ja-JP" w:bidi="hi-IN"/>
        </w:rPr>
        <w:t xml:space="preserve">serving RRH the serving beam SNR </w:t>
      </w:r>
      <w:r>
        <w:rPr>
          <w:b/>
          <w:bCs/>
          <w:lang w:val="en-US" w:eastAsia="ja-JP" w:bidi="hi-IN"/>
        </w:rPr>
        <w:t xml:space="preserve">degrades very fast </w:t>
      </w:r>
      <w:r w:rsidRPr="0049070E">
        <w:rPr>
          <w:b/>
          <w:bCs/>
          <w:lang w:val="en-US" w:eastAsia="ja-JP" w:bidi="hi-IN"/>
        </w:rPr>
        <w:t xml:space="preserve">so that </w:t>
      </w:r>
      <w:r>
        <w:rPr>
          <w:b/>
          <w:bCs/>
          <w:lang w:val="en-US" w:eastAsia="ja-JP" w:bidi="hi-IN"/>
        </w:rPr>
        <w:t>the RRH</w:t>
      </w:r>
      <w:r w:rsidRPr="0049070E">
        <w:rPr>
          <w:b/>
          <w:bCs/>
          <w:lang w:val="en-US" w:eastAsia="ja-JP" w:bidi="hi-IN"/>
        </w:rPr>
        <w:t xml:space="preserve"> becomes unavailable </w:t>
      </w:r>
      <w:r>
        <w:rPr>
          <w:b/>
          <w:bCs/>
          <w:lang w:val="en-US" w:eastAsia="ja-JP" w:bidi="hi-IN"/>
        </w:rPr>
        <w:t>before it could identify the need for TCI state switching and send corresponding command to UE.</w:t>
      </w:r>
    </w:p>
    <w:p w14:paraId="007E62C0" w14:textId="77777777" w:rsidR="00A948CB" w:rsidRDefault="00A948CB" w:rsidP="00A948CB">
      <w:pPr>
        <w:overflowPunct/>
        <w:autoSpaceDE/>
        <w:autoSpaceDN/>
        <w:adjustRightInd/>
        <w:spacing w:before="0" w:after="160" w:line="259" w:lineRule="auto"/>
        <w:textAlignment w:val="auto"/>
        <w:rPr>
          <w:rFonts w:ascii="Times-Roman" w:hAnsi="Times-Roman" w:hint="eastAsia"/>
          <w:b/>
          <w:bCs/>
          <w:lang w:val="en-US"/>
        </w:rPr>
      </w:pPr>
      <w:r>
        <w:rPr>
          <w:rFonts w:ascii="Times-Roman" w:hAnsi="Times-Roman"/>
          <w:b/>
          <w:bCs/>
          <w:lang w:val="en-US"/>
        </w:rPr>
        <w:t>Proposal 2: For FR2 HST consider upper bound of DRX cycle equal to 60ms</w:t>
      </w:r>
    </w:p>
    <w:p w14:paraId="0B9F0EF5" w14:textId="77777777" w:rsidR="00A948CB" w:rsidRPr="00847EFD" w:rsidRDefault="00A948CB" w:rsidP="00A948CB">
      <w:pPr>
        <w:rPr>
          <w:rFonts w:ascii="Times-Roman" w:hAnsi="Times-Roman" w:hint="eastAsia"/>
          <w:b/>
          <w:bCs/>
          <w:lang w:val="en-US"/>
        </w:rPr>
      </w:pPr>
      <w:r w:rsidRPr="00847EFD">
        <w:rPr>
          <w:rFonts w:ascii="Times-Roman" w:hAnsi="Times-Roman"/>
          <w:b/>
          <w:bCs/>
          <w:lang w:val="en-US"/>
        </w:rPr>
        <w:t xml:space="preserve">Proposal 3: </w:t>
      </w:r>
      <w:r w:rsidRPr="00847EFD">
        <w:rPr>
          <w:b/>
          <w:bCs/>
        </w:rPr>
        <w:t>For DRX cycle &gt; the upper bound existing Rel-16 FR2 requirements are reused</w:t>
      </w:r>
    </w:p>
    <w:p w14:paraId="79D5DACE" w14:textId="77777777" w:rsidR="00A47C50" w:rsidRPr="00A47C50" w:rsidRDefault="00A47C50" w:rsidP="00A47C50">
      <w:pPr>
        <w:pStyle w:val="ListParagraph"/>
        <w:ind w:left="0"/>
        <w:rPr>
          <w:b/>
          <w:bCs/>
          <w:lang w:val="en-US"/>
        </w:rPr>
      </w:pP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33EF1214" w14:textId="77777777" w:rsidR="00A948CB" w:rsidRDefault="00A948CB" w:rsidP="00805336">
      <w:pPr>
        <w:widowControl w:val="0"/>
        <w:numPr>
          <w:ilvl w:val="0"/>
          <w:numId w:val="1"/>
        </w:numPr>
        <w:jc w:val="both"/>
        <w:textAlignment w:val="auto"/>
      </w:pPr>
      <w:bookmarkStart w:id="3" w:name="_Hlk71676486"/>
      <w:r w:rsidRPr="00CC5DB4">
        <w:t>R4-2106100 “</w:t>
      </w:r>
      <w:r w:rsidRPr="00A948CB">
        <w:t>WF on FR2 HST RRM requirements</w:t>
      </w:r>
      <w:r w:rsidRPr="00CC5DB4">
        <w:t xml:space="preserve">”, </w:t>
      </w:r>
      <w:r w:rsidRPr="00A948CB">
        <w:rPr>
          <w:lang w:val="en-US"/>
        </w:rPr>
        <w:t>Nokia, Nokia Shanghai Bell</w:t>
      </w:r>
      <w:r w:rsidRPr="00CC5DB4">
        <w:t xml:space="preserve">, </w:t>
      </w:r>
      <w:bookmarkEnd w:id="3"/>
      <w:r w:rsidRPr="00CC5DB4">
        <w:t>RAN4 #9</w:t>
      </w:r>
      <w:r>
        <w:t>9</w:t>
      </w:r>
      <w:r w:rsidRPr="00CC5DB4">
        <w:t xml:space="preserve">-e, </w:t>
      </w:r>
      <w:proofErr w:type="gramStart"/>
      <w:r>
        <w:t>May</w:t>
      </w:r>
      <w:r w:rsidRPr="00CC5DB4">
        <w:t>,</w:t>
      </w:r>
      <w:proofErr w:type="gramEnd"/>
      <w:r w:rsidRPr="00CC5DB4">
        <w:t xml:space="preserve"> 2021</w:t>
      </w:r>
    </w:p>
    <w:p w14:paraId="04700161" w14:textId="77777777" w:rsidR="00980E5E" w:rsidRPr="003E73C0" w:rsidRDefault="00980E5E" w:rsidP="00980E5E">
      <w:pPr>
        <w:widowControl w:val="0"/>
        <w:numPr>
          <w:ilvl w:val="0"/>
          <w:numId w:val="1"/>
        </w:numPr>
        <w:jc w:val="both"/>
      </w:pPr>
      <w:r w:rsidRPr="003E73C0">
        <w:rPr>
          <w:lang w:val="en-US"/>
        </w:rPr>
        <w:t>R4-2110952 - Discussion on FR2 HST Scenario-A deployment aspects</w:t>
      </w:r>
      <w:r>
        <w:rPr>
          <w:lang w:val="en-US"/>
        </w:rPr>
        <w:t xml:space="preserve">, Intel, RAN4 #99, </w:t>
      </w:r>
      <w:r w:rsidRPr="00FF27C5">
        <w:t>19 – 27 May 2021</w:t>
      </w:r>
    </w:p>
    <w:p w14:paraId="041D9034" w14:textId="134032BD" w:rsidR="008B6914" w:rsidRDefault="00980E5E" w:rsidP="00980E5E">
      <w:pPr>
        <w:widowControl w:val="0"/>
        <w:numPr>
          <w:ilvl w:val="0"/>
          <w:numId w:val="1"/>
        </w:numPr>
        <w:jc w:val="both"/>
      </w:pPr>
      <w:r w:rsidRPr="003E73C0">
        <w:rPr>
          <w:lang w:val="en-US"/>
        </w:rPr>
        <w:t>R4-211095</w:t>
      </w:r>
      <w:r>
        <w:rPr>
          <w:lang w:val="en-US"/>
        </w:rPr>
        <w:t>3</w:t>
      </w:r>
      <w:r w:rsidRPr="003E73C0">
        <w:rPr>
          <w:lang w:val="en-US"/>
        </w:rPr>
        <w:t xml:space="preserve"> - Discussion on FR2 HST Scenario-</w:t>
      </w:r>
      <w:r>
        <w:rPr>
          <w:lang w:val="en-US"/>
        </w:rPr>
        <w:t>B</w:t>
      </w:r>
      <w:r w:rsidRPr="003E73C0">
        <w:rPr>
          <w:lang w:val="en-US"/>
        </w:rPr>
        <w:t xml:space="preserve"> deployment aspects</w:t>
      </w:r>
      <w:r>
        <w:rPr>
          <w:lang w:val="en-US"/>
        </w:rPr>
        <w:t>, Intel,</w:t>
      </w:r>
      <w:r w:rsidRPr="003E73C0">
        <w:rPr>
          <w:lang w:val="en-US"/>
        </w:rPr>
        <w:t xml:space="preserve"> </w:t>
      </w:r>
      <w:r>
        <w:rPr>
          <w:lang w:val="en-US"/>
        </w:rPr>
        <w:t xml:space="preserve">RAN4 #99, </w:t>
      </w:r>
      <w:r w:rsidRPr="00FF27C5">
        <w:t>19 – 27 May 2021</w:t>
      </w:r>
    </w:p>
    <w:sectPr w:rsidR="008B6914" w:rsidSect="00F011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80516C" w14:textId="77777777" w:rsidR="00250CB6" w:rsidRDefault="00250CB6" w:rsidP="00F01182">
      <w:pPr>
        <w:spacing w:before="0" w:after="0"/>
      </w:pPr>
      <w:r>
        <w:separator/>
      </w:r>
    </w:p>
  </w:endnote>
  <w:endnote w:type="continuationSeparator" w:id="0">
    <w:p w14:paraId="6EF7F12E" w14:textId="77777777" w:rsidR="00250CB6" w:rsidRDefault="00250CB6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9F2ED" w14:textId="77777777" w:rsidR="00250CB6" w:rsidRDefault="00250CB6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250CB6" w:rsidRDefault="00250CB6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6A16B0" w14:textId="77777777" w:rsidR="00250CB6" w:rsidRPr="00DB1239" w:rsidRDefault="00250CB6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3252D" w14:textId="77777777" w:rsidR="00250CB6" w:rsidRDefault="00250C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EB9D88" w14:textId="77777777" w:rsidR="00250CB6" w:rsidRDefault="00250CB6" w:rsidP="00F01182">
      <w:pPr>
        <w:spacing w:before="0" w:after="0"/>
      </w:pPr>
      <w:r>
        <w:separator/>
      </w:r>
    </w:p>
  </w:footnote>
  <w:footnote w:type="continuationSeparator" w:id="0">
    <w:p w14:paraId="17C419BD" w14:textId="77777777" w:rsidR="00250CB6" w:rsidRDefault="00250CB6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3E17A" w14:textId="77777777" w:rsidR="00250CB6" w:rsidRDefault="00250C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42E80" w14:textId="77777777" w:rsidR="00250CB6" w:rsidRDefault="00250C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C5FA0" w14:textId="77777777" w:rsidR="00250CB6" w:rsidRDefault="00250C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133A5"/>
    <w:multiLevelType w:val="hybridMultilevel"/>
    <w:tmpl w:val="FE720B64"/>
    <w:lvl w:ilvl="0" w:tplc="4844E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CFC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7E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A9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A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6A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05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8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28F7C20"/>
    <w:multiLevelType w:val="hybridMultilevel"/>
    <w:tmpl w:val="75861044"/>
    <w:lvl w:ilvl="0" w:tplc="748EE6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B291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44E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ACA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B0A3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6F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60A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F623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AEE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8D87485"/>
    <w:multiLevelType w:val="hybridMultilevel"/>
    <w:tmpl w:val="A8929E62"/>
    <w:lvl w:ilvl="0" w:tplc="9B0807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56A71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6F0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FE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C61C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8C1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0671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2C8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A0A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CCB06E2"/>
    <w:multiLevelType w:val="hybridMultilevel"/>
    <w:tmpl w:val="9D8A3C8C"/>
    <w:lvl w:ilvl="0" w:tplc="25F0D8B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D5696BA">
      <w:start w:val="11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D205E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D9C5D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E3A843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0F3263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41C63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B8833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9BC43FB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D12ECC"/>
    <w:multiLevelType w:val="multilevel"/>
    <w:tmpl w:val="7A2C6F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0D059B5"/>
    <w:multiLevelType w:val="hybridMultilevel"/>
    <w:tmpl w:val="7D6889F6"/>
    <w:lvl w:ilvl="0" w:tplc="30A0E6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631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F40D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40C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E5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4EE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3640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EA5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30C0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F8757E4"/>
    <w:multiLevelType w:val="hybridMultilevel"/>
    <w:tmpl w:val="22C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6"/>
  </w:num>
  <w:num w:numId="5">
    <w:abstractNumId w:val="5"/>
  </w:num>
  <w:num w:numId="6">
    <w:abstractNumId w:val="10"/>
  </w:num>
  <w:num w:numId="7">
    <w:abstractNumId w:val="4"/>
  </w:num>
  <w:num w:numId="8">
    <w:abstractNumId w:val="0"/>
  </w:num>
  <w:num w:numId="9">
    <w:abstractNumId w:val="2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3"/>
  <w:proofState w:grammar="clean"/>
  <w:defaultTabStop w:val="708"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25ABE"/>
    <w:rsid w:val="00045451"/>
    <w:rsid w:val="00074DFE"/>
    <w:rsid w:val="000801E5"/>
    <w:rsid w:val="00084065"/>
    <w:rsid w:val="000A50D0"/>
    <w:rsid w:val="000A7FA8"/>
    <w:rsid w:val="000B0BF2"/>
    <w:rsid w:val="000C00F6"/>
    <w:rsid w:val="000C3C28"/>
    <w:rsid w:val="000C591A"/>
    <w:rsid w:val="000E1A0A"/>
    <w:rsid w:val="00152B88"/>
    <w:rsid w:val="001B79B4"/>
    <w:rsid w:val="001C2D4A"/>
    <w:rsid w:val="001C7338"/>
    <w:rsid w:val="00204C52"/>
    <w:rsid w:val="0020606F"/>
    <w:rsid w:val="00213455"/>
    <w:rsid w:val="00217D2C"/>
    <w:rsid w:val="0022725D"/>
    <w:rsid w:val="00241C1E"/>
    <w:rsid w:val="002460DA"/>
    <w:rsid w:val="00250CB6"/>
    <w:rsid w:val="002562C7"/>
    <w:rsid w:val="0026412A"/>
    <w:rsid w:val="00264652"/>
    <w:rsid w:val="002732EB"/>
    <w:rsid w:val="00276AB5"/>
    <w:rsid w:val="00280090"/>
    <w:rsid w:val="002C774D"/>
    <w:rsid w:val="002E1458"/>
    <w:rsid w:val="002E2C6B"/>
    <w:rsid w:val="002F689A"/>
    <w:rsid w:val="00312F3D"/>
    <w:rsid w:val="00313845"/>
    <w:rsid w:val="00330CD2"/>
    <w:rsid w:val="0035405F"/>
    <w:rsid w:val="003618A5"/>
    <w:rsid w:val="00397650"/>
    <w:rsid w:val="00397A08"/>
    <w:rsid w:val="003C767B"/>
    <w:rsid w:val="003C781F"/>
    <w:rsid w:val="003D22B2"/>
    <w:rsid w:val="003E3FF2"/>
    <w:rsid w:val="003E598B"/>
    <w:rsid w:val="00425DB6"/>
    <w:rsid w:val="00431B06"/>
    <w:rsid w:val="00443BA0"/>
    <w:rsid w:val="004563D3"/>
    <w:rsid w:val="00476AF6"/>
    <w:rsid w:val="0049070E"/>
    <w:rsid w:val="00490C92"/>
    <w:rsid w:val="00496903"/>
    <w:rsid w:val="004A09B6"/>
    <w:rsid w:val="0050718C"/>
    <w:rsid w:val="00510D0B"/>
    <w:rsid w:val="00523459"/>
    <w:rsid w:val="005404A9"/>
    <w:rsid w:val="005468E3"/>
    <w:rsid w:val="00553847"/>
    <w:rsid w:val="005728E3"/>
    <w:rsid w:val="00595995"/>
    <w:rsid w:val="005B3C5D"/>
    <w:rsid w:val="005B7FB4"/>
    <w:rsid w:val="005D0CD6"/>
    <w:rsid w:val="005D7F3E"/>
    <w:rsid w:val="006263E0"/>
    <w:rsid w:val="00627A3B"/>
    <w:rsid w:val="006303F7"/>
    <w:rsid w:val="00647DFD"/>
    <w:rsid w:val="00666C1E"/>
    <w:rsid w:val="00695BAB"/>
    <w:rsid w:val="006A5F2D"/>
    <w:rsid w:val="006B3ED4"/>
    <w:rsid w:val="006D23BC"/>
    <w:rsid w:val="006F0760"/>
    <w:rsid w:val="00701619"/>
    <w:rsid w:val="00705979"/>
    <w:rsid w:val="00721E81"/>
    <w:rsid w:val="00725BA6"/>
    <w:rsid w:val="0073741D"/>
    <w:rsid w:val="00780A46"/>
    <w:rsid w:val="00781AF7"/>
    <w:rsid w:val="00781FCA"/>
    <w:rsid w:val="007E00C1"/>
    <w:rsid w:val="00804CC8"/>
    <w:rsid w:val="00815F9C"/>
    <w:rsid w:val="00833FDE"/>
    <w:rsid w:val="00847EFD"/>
    <w:rsid w:val="008579C9"/>
    <w:rsid w:val="0089734D"/>
    <w:rsid w:val="008A7479"/>
    <w:rsid w:val="008B6914"/>
    <w:rsid w:val="008C6931"/>
    <w:rsid w:val="008C737F"/>
    <w:rsid w:val="008E624A"/>
    <w:rsid w:val="008F352D"/>
    <w:rsid w:val="008F64EB"/>
    <w:rsid w:val="008F6BCC"/>
    <w:rsid w:val="00905604"/>
    <w:rsid w:val="009436B2"/>
    <w:rsid w:val="00954DBA"/>
    <w:rsid w:val="009550C0"/>
    <w:rsid w:val="0095576A"/>
    <w:rsid w:val="00955AFF"/>
    <w:rsid w:val="00975FC9"/>
    <w:rsid w:val="00980E5E"/>
    <w:rsid w:val="00982F1A"/>
    <w:rsid w:val="00993E56"/>
    <w:rsid w:val="009B10CD"/>
    <w:rsid w:val="009B6F6B"/>
    <w:rsid w:val="009C6DCB"/>
    <w:rsid w:val="009D6577"/>
    <w:rsid w:val="009F3400"/>
    <w:rsid w:val="00A06CE8"/>
    <w:rsid w:val="00A14727"/>
    <w:rsid w:val="00A21195"/>
    <w:rsid w:val="00A47A6A"/>
    <w:rsid w:val="00A47C50"/>
    <w:rsid w:val="00A70C9E"/>
    <w:rsid w:val="00A800C6"/>
    <w:rsid w:val="00A846A0"/>
    <w:rsid w:val="00A85196"/>
    <w:rsid w:val="00A944C4"/>
    <w:rsid w:val="00A948CB"/>
    <w:rsid w:val="00AB081E"/>
    <w:rsid w:val="00AB2E7B"/>
    <w:rsid w:val="00AB7F70"/>
    <w:rsid w:val="00AC62B0"/>
    <w:rsid w:val="00AE07E7"/>
    <w:rsid w:val="00AF52F7"/>
    <w:rsid w:val="00B05576"/>
    <w:rsid w:val="00B11E4E"/>
    <w:rsid w:val="00B25B59"/>
    <w:rsid w:val="00B27CFE"/>
    <w:rsid w:val="00B30E43"/>
    <w:rsid w:val="00B413BE"/>
    <w:rsid w:val="00B5397D"/>
    <w:rsid w:val="00B76C78"/>
    <w:rsid w:val="00B96CE2"/>
    <w:rsid w:val="00BA3E2C"/>
    <w:rsid w:val="00BA4130"/>
    <w:rsid w:val="00BA5F1E"/>
    <w:rsid w:val="00BB3F09"/>
    <w:rsid w:val="00BC4207"/>
    <w:rsid w:val="00BD1E06"/>
    <w:rsid w:val="00BD6C67"/>
    <w:rsid w:val="00BE4E62"/>
    <w:rsid w:val="00BF6D8E"/>
    <w:rsid w:val="00BF7CE6"/>
    <w:rsid w:val="00C06824"/>
    <w:rsid w:val="00C16332"/>
    <w:rsid w:val="00C324B4"/>
    <w:rsid w:val="00C418D2"/>
    <w:rsid w:val="00C54BB9"/>
    <w:rsid w:val="00C63A6A"/>
    <w:rsid w:val="00C65EF3"/>
    <w:rsid w:val="00C975E0"/>
    <w:rsid w:val="00CB1708"/>
    <w:rsid w:val="00CB77C8"/>
    <w:rsid w:val="00CB7EB0"/>
    <w:rsid w:val="00CC1185"/>
    <w:rsid w:val="00CD6254"/>
    <w:rsid w:val="00CF35CB"/>
    <w:rsid w:val="00D040B2"/>
    <w:rsid w:val="00D0470E"/>
    <w:rsid w:val="00D1461D"/>
    <w:rsid w:val="00D254A8"/>
    <w:rsid w:val="00D306A8"/>
    <w:rsid w:val="00D444A6"/>
    <w:rsid w:val="00D62705"/>
    <w:rsid w:val="00D9234B"/>
    <w:rsid w:val="00DA6789"/>
    <w:rsid w:val="00DC06C7"/>
    <w:rsid w:val="00DC3026"/>
    <w:rsid w:val="00DC3348"/>
    <w:rsid w:val="00DD1FD4"/>
    <w:rsid w:val="00DF2C14"/>
    <w:rsid w:val="00E071CC"/>
    <w:rsid w:val="00E236ED"/>
    <w:rsid w:val="00E27BD9"/>
    <w:rsid w:val="00E31A14"/>
    <w:rsid w:val="00E33408"/>
    <w:rsid w:val="00E33664"/>
    <w:rsid w:val="00E44293"/>
    <w:rsid w:val="00E44F50"/>
    <w:rsid w:val="00E616D4"/>
    <w:rsid w:val="00E773AC"/>
    <w:rsid w:val="00EA474A"/>
    <w:rsid w:val="00EE1FDD"/>
    <w:rsid w:val="00EF22B6"/>
    <w:rsid w:val="00F01182"/>
    <w:rsid w:val="00F047BD"/>
    <w:rsid w:val="00F32004"/>
    <w:rsid w:val="00F34BEA"/>
    <w:rsid w:val="00F36E15"/>
    <w:rsid w:val="00F52F9F"/>
    <w:rsid w:val="00F64415"/>
    <w:rsid w:val="00F711C2"/>
    <w:rsid w:val="00F94E10"/>
    <w:rsid w:val="00FA39B1"/>
    <w:rsid w:val="00FC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6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864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75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0338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37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2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276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21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85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34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99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4018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8068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75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3557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653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77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02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265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77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74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5358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16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768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12</cp:revision>
  <dcterms:created xsi:type="dcterms:W3CDTF">2021-08-04T20:06:00Z</dcterms:created>
  <dcterms:modified xsi:type="dcterms:W3CDTF">2021-08-06T21:01:00Z</dcterms:modified>
</cp:coreProperties>
</file>